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D8" w:rsidRPr="00115A99" w:rsidRDefault="00115A99" w:rsidP="006014C0">
      <w:pPr>
        <w:spacing w:after="0" w:line="259" w:lineRule="auto"/>
        <w:ind w:left="101" w:firstLine="0"/>
        <w:jc w:val="right"/>
        <w:rPr>
          <w:sz w:val="28"/>
          <w:szCs w:val="28"/>
          <w:lang w:val="ru-RU"/>
        </w:rPr>
      </w:pPr>
      <w:r w:rsidRPr="00115A99">
        <w:rPr>
          <w:sz w:val="28"/>
          <w:szCs w:val="28"/>
          <w:lang w:val="ru-RU"/>
        </w:rPr>
        <w:t>ПРОЕКТ</w:t>
      </w:r>
    </w:p>
    <w:p w:rsidR="00FA71D8" w:rsidRPr="00115A99" w:rsidRDefault="00FA71D8">
      <w:pPr>
        <w:spacing w:after="0" w:line="259" w:lineRule="auto"/>
        <w:ind w:left="101" w:firstLine="0"/>
        <w:jc w:val="center"/>
        <w:rPr>
          <w:sz w:val="28"/>
          <w:szCs w:val="28"/>
          <w:lang w:val="ru-RU"/>
        </w:rPr>
      </w:pPr>
    </w:p>
    <w:p w:rsidR="00066407" w:rsidRPr="00CF06B9" w:rsidRDefault="009851DF">
      <w:pPr>
        <w:spacing w:after="0" w:line="259" w:lineRule="auto"/>
        <w:ind w:left="101" w:firstLine="0"/>
        <w:jc w:val="center"/>
        <w:rPr>
          <w:b/>
          <w:sz w:val="28"/>
          <w:szCs w:val="28"/>
          <w:lang w:val="ru-RU"/>
        </w:rPr>
      </w:pPr>
      <w:r w:rsidRPr="00CF06B9">
        <w:rPr>
          <w:b/>
          <w:sz w:val="28"/>
          <w:szCs w:val="28"/>
          <w:lang w:val="ru-RU"/>
        </w:rPr>
        <w:t xml:space="preserve">О внесении изменений в постановление </w:t>
      </w:r>
    </w:p>
    <w:p w:rsidR="00066407" w:rsidRPr="00CF06B9" w:rsidRDefault="00066407" w:rsidP="00066407">
      <w:pPr>
        <w:widowControl w:val="0"/>
        <w:autoSpaceDE w:val="0"/>
        <w:autoSpaceDN w:val="0"/>
        <w:spacing w:after="0" w:line="240" w:lineRule="auto"/>
        <w:jc w:val="center"/>
        <w:rPr>
          <w:b/>
          <w:bCs/>
          <w:sz w:val="28"/>
          <w:szCs w:val="28"/>
          <w:lang w:val="ru-RU" w:eastAsia="ru-RU"/>
        </w:rPr>
      </w:pPr>
      <w:r w:rsidRPr="00CF06B9">
        <w:rPr>
          <w:b/>
          <w:sz w:val="28"/>
          <w:szCs w:val="28"/>
          <w:lang w:val="ru-RU"/>
        </w:rPr>
        <w:t xml:space="preserve">Администрации </w:t>
      </w:r>
      <w:r w:rsidR="00851FB1" w:rsidRPr="00CF06B9">
        <w:rPr>
          <w:b/>
          <w:sz w:val="28"/>
          <w:szCs w:val="28"/>
          <w:lang w:val="ru-RU"/>
        </w:rPr>
        <w:t xml:space="preserve">сельского поселения </w:t>
      </w:r>
      <w:r w:rsidR="0035317F">
        <w:rPr>
          <w:b/>
          <w:sz w:val="28"/>
          <w:szCs w:val="28"/>
          <w:lang w:val="ru-RU"/>
        </w:rPr>
        <w:t>Ильино-Полянский</w:t>
      </w:r>
      <w:r w:rsidR="00851FB1" w:rsidRPr="00CF06B9">
        <w:rPr>
          <w:b/>
          <w:sz w:val="28"/>
          <w:szCs w:val="28"/>
          <w:lang w:val="ru-RU"/>
        </w:rPr>
        <w:t xml:space="preserve"> сельсовет </w:t>
      </w:r>
      <w:r w:rsidRPr="00CF06B9">
        <w:rPr>
          <w:b/>
          <w:sz w:val="28"/>
          <w:szCs w:val="28"/>
          <w:lang w:val="ru-RU"/>
        </w:rPr>
        <w:t xml:space="preserve">муниципального района Благовещенский район Республики Башкортостан </w:t>
      </w:r>
      <w:bookmarkStart w:id="0" w:name="_Hlk120610291"/>
      <w:r w:rsidRPr="00CF06B9">
        <w:rPr>
          <w:b/>
          <w:sz w:val="28"/>
          <w:szCs w:val="28"/>
          <w:lang w:val="ru-RU"/>
        </w:rPr>
        <w:t xml:space="preserve">от </w:t>
      </w:r>
      <w:r w:rsidR="00B862C7">
        <w:rPr>
          <w:b/>
          <w:sz w:val="28"/>
          <w:szCs w:val="28"/>
          <w:lang w:val="ru-RU"/>
        </w:rPr>
        <w:t>05</w:t>
      </w:r>
      <w:r w:rsidR="000935F4">
        <w:rPr>
          <w:b/>
          <w:sz w:val="28"/>
          <w:szCs w:val="28"/>
          <w:lang w:val="ru-RU"/>
        </w:rPr>
        <w:t xml:space="preserve"> </w:t>
      </w:r>
      <w:r w:rsidR="00B862C7">
        <w:rPr>
          <w:b/>
          <w:sz w:val="28"/>
          <w:szCs w:val="28"/>
          <w:lang w:val="ru-RU"/>
        </w:rPr>
        <w:t>апреля</w:t>
      </w:r>
      <w:r w:rsidR="000935F4">
        <w:rPr>
          <w:b/>
          <w:sz w:val="28"/>
          <w:szCs w:val="28"/>
          <w:lang w:val="ru-RU"/>
        </w:rPr>
        <w:t xml:space="preserve"> </w:t>
      </w:r>
      <w:r w:rsidRPr="00CF06B9">
        <w:rPr>
          <w:b/>
          <w:sz w:val="28"/>
          <w:szCs w:val="28"/>
          <w:lang w:val="ru-RU"/>
        </w:rPr>
        <w:t xml:space="preserve">2022 года № </w:t>
      </w:r>
      <w:r w:rsidR="000935F4">
        <w:rPr>
          <w:b/>
          <w:sz w:val="28"/>
          <w:szCs w:val="28"/>
          <w:lang w:val="ru-RU"/>
        </w:rPr>
        <w:t>2</w:t>
      </w:r>
      <w:r w:rsidR="00B862C7">
        <w:rPr>
          <w:b/>
          <w:sz w:val="28"/>
          <w:szCs w:val="28"/>
          <w:lang w:val="ru-RU"/>
        </w:rPr>
        <w:t>5</w:t>
      </w:r>
      <w:r w:rsidRPr="00CF06B9">
        <w:rPr>
          <w:b/>
          <w:sz w:val="28"/>
          <w:szCs w:val="28"/>
          <w:lang w:val="ru-RU"/>
        </w:rPr>
        <w:t xml:space="preserve"> «</w:t>
      </w:r>
      <w:r w:rsidR="000935F4"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35317F">
        <w:rPr>
          <w:b/>
          <w:bCs/>
          <w:sz w:val="28"/>
          <w:szCs w:val="24"/>
          <w:lang w:val="ru-RU" w:eastAsia="ru-RU"/>
        </w:rPr>
        <w:t>Ильино-Полянский</w:t>
      </w:r>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Pr="00CF06B9">
        <w:rPr>
          <w:b/>
          <w:bCs/>
          <w:sz w:val="28"/>
          <w:szCs w:val="28"/>
          <w:lang w:val="ru-RU" w:eastAsia="ru-RU"/>
        </w:rPr>
        <w:t xml:space="preserve">» </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 № 511</w:t>
      </w:r>
      <w:r w:rsidR="00F45B91">
        <w:rPr>
          <w:sz w:val="28"/>
          <w:szCs w:val="28"/>
          <w:lang w:val="ru-RU"/>
        </w:rPr>
        <w:t xml:space="preserve"> </w:t>
      </w:r>
      <w:r w:rsidRPr="00115A99">
        <w:rPr>
          <w:sz w:val="28"/>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r w:rsidR="0035317F">
        <w:rPr>
          <w:sz w:val="28"/>
          <w:szCs w:val="28"/>
          <w:lang w:val="ru-RU"/>
        </w:rPr>
        <w:t>Ильино-Полянский</w:t>
      </w:r>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r w:rsidR="0035317F">
        <w:rPr>
          <w:sz w:val="28"/>
          <w:szCs w:val="28"/>
          <w:lang w:val="ru-RU"/>
        </w:rPr>
        <w:t xml:space="preserve">Ильино-Полянский </w:t>
      </w:r>
      <w:r w:rsidR="00893613">
        <w:rPr>
          <w:sz w:val="28"/>
          <w:szCs w:val="28"/>
          <w:lang w:val="ru-RU"/>
        </w:rPr>
        <w:t>сельсовет</w:t>
      </w:r>
      <w:r w:rsidR="00066407" w:rsidRPr="00115A99">
        <w:rPr>
          <w:sz w:val="28"/>
          <w:szCs w:val="28"/>
          <w:lang w:val="ru-RU"/>
        </w:rPr>
        <w:t xml:space="preserve"> муниципального района Благовещенский район Республики Башкортостан от </w:t>
      </w:r>
      <w:r w:rsidR="000935F4">
        <w:rPr>
          <w:sz w:val="28"/>
          <w:szCs w:val="28"/>
          <w:lang w:val="ru-RU"/>
        </w:rPr>
        <w:t xml:space="preserve">31 марта </w:t>
      </w:r>
      <w:r w:rsidR="00066407" w:rsidRPr="00115A99">
        <w:rPr>
          <w:sz w:val="28"/>
          <w:szCs w:val="28"/>
          <w:lang w:val="ru-RU"/>
        </w:rPr>
        <w:t>2022 года №</w:t>
      </w:r>
      <w:r w:rsidR="000935F4">
        <w:rPr>
          <w:sz w:val="28"/>
          <w:szCs w:val="28"/>
          <w:lang w:val="ru-RU"/>
        </w:rPr>
        <w:t xml:space="preserve"> 48</w:t>
      </w:r>
      <w:r w:rsidR="00066407" w:rsidRPr="00115A99">
        <w:rPr>
          <w:sz w:val="28"/>
          <w:szCs w:val="28"/>
          <w:lang w:val="ru-RU"/>
        </w:rPr>
        <w:t xml:space="preserve"> «</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 xml:space="preserve">размещения нестационарных торговых объектов (по оказанию услуг) на территории сельского поселения </w:t>
      </w:r>
      <w:r w:rsidR="0035317F">
        <w:rPr>
          <w:sz w:val="28"/>
          <w:szCs w:val="28"/>
          <w:lang w:val="ru-RU"/>
        </w:rPr>
        <w:t xml:space="preserve">Ильино-Полянский </w:t>
      </w:r>
      <w:r w:rsidR="000935F4" w:rsidRPr="000935F4">
        <w:rPr>
          <w:bCs/>
          <w:sz w:val="28"/>
          <w:szCs w:val="24"/>
          <w:lang w:val="ru-RU" w:eastAsia="ru-RU"/>
        </w:rPr>
        <w:t>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r w:rsidR="0035317F">
        <w:rPr>
          <w:sz w:val="28"/>
          <w:szCs w:val="28"/>
          <w:lang w:val="ru-RU"/>
        </w:rPr>
        <w:t xml:space="preserve">Ильино-Полянский </w:t>
      </w:r>
      <w:r w:rsidR="00851FB1">
        <w:rPr>
          <w:sz w:val="28"/>
          <w:szCs w:val="28"/>
          <w:lang w:val="ru-RU"/>
        </w:rPr>
        <w:t>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826EF5" w:rsidRPr="00826EF5" w:rsidRDefault="00826EF5" w:rsidP="00826EF5">
      <w:pPr>
        <w:ind w:firstLine="0"/>
        <w:rPr>
          <w:bCs/>
          <w:sz w:val="28"/>
          <w:szCs w:val="24"/>
          <w:lang w:val="ru-RU"/>
        </w:rPr>
      </w:pPr>
      <w:r w:rsidRPr="00E564EF">
        <w:rPr>
          <w:sz w:val="28"/>
          <w:szCs w:val="24"/>
          <w:lang w:val="be-BY"/>
        </w:rPr>
        <w:t xml:space="preserve">Глава сельского поселения                                                   </w:t>
      </w:r>
      <w:r>
        <w:rPr>
          <w:sz w:val="28"/>
          <w:szCs w:val="24"/>
          <w:lang w:val="be-BY"/>
        </w:rPr>
        <w:t xml:space="preserve">          </w:t>
      </w:r>
      <w:r w:rsidR="006014C0">
        <w:rPr>
          <w:sz w:val="28"/>
          <w:szCs w:val="24"/>
          <w:lang w:val="be-BY"/>
        </w:rPr>
        <w:t xml:space="preserve"> </w:t>
      </w:r>
      <w:r w:rsidR="0035317F">
        <w:rPr>
          <w:sz w:val="28"/>
          <w:szCs w:val="24"/>
          <w:lang w:val="be-BY"/>
        </w:rPr>
        <w:t>С.П. Рыхтеров</w:t>
      </w:r>
      <w:r w:rsidRPr="00E564EF">
        <w:rPr>
          <w:sz w:val="28"/>
          <w:szCs w:val="24"/>
          <w:lang w:val="be-BY"/>
        </w:rPr>
        <w:t xml:space="preserve"> </w:t>
      </w:r>
    </w:p>
    <w:p w:rsidR="00A50884" w:rsidRDefault="00A50884" w:rsidP="00A50884">
      <w:pPr>
        <w:widowControl w:val="0"/>
        <w:autoSpaceDE w:val="0"/>
        <w:autoSpaceDN w:val="0"/>
        <w:adjustRightInd w:val="0"/>
        <w:spacing w:after="0" w:line="240" w:lineRule="auto"/>
        <w:rPr>
          <w:sz w:val="28"/>
          <w:szCs w:val="28"/>
          <w:lang w:val="ru-RU"/>
        </w:rPr>
      </w:pPr>
    </w:p>
    <w:p w:rsidR="00A50884" w:rsidRDefault="00A50884"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lastRenderedPageBreak/>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35317F" w:rsidP="00A50884">
      <w:pPr>
        <w:widowControl w:val="0"/>
        <w:autoSpaceDE w:val="0"/>
        <w:autoSpaceDN w:val="0"/>
        <w:adjustRightInd w:val="0"/>
        <w:spacing w:after="0" w:line="240" w:lineRule="auto"/>
        <w:ind w:left="5040"/>
        <w:rPr>
          <w:sz w:val="24"/>
          <w:szCs w:val="24"/>
          <w:lang w:val="ru-RU"/>
        </w:rPr>
      </w:pPr>
      <w:r>
        <w:rPr>
          <w:sz w:val="24"/>
          <w:szCs w:val="24"/>
          <w:lang w:val="ru-RU"/>
        </w:rPr>
        <w:t>Ильино-Полянский</w:t>
      </w:r>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от________</w:t>
      </w:r>
      <w:r w:rsidR="00115A99">
        <w:rPr>
          <w:sz w:val="24"/>
          <w:szCs w:val="24"/>
          <w:lang w:val="ru-RU"/>
        </w:rPr>
        <w:t>__</w:t>
      </w:r>
      <w:r w:rsidRPr="00115A99">
        <w:rPr>
          <w:sz w:val="24"/>
          <w:szCs w:val="24"/>
          <w:lang w:val="ru-RU"/>
        </w:rPr>
        <w:t>___20</w:t>
      </w:r>
      <w:r w:rsidR="00826EF5">
        <w:rPr>
          <w:sz w:val="24"/>
          <w:szCs w:val="24"/>
          <w:lang w:val="ru-RU"/>
        </w:rPr>
        <w:t>22</w:t>
      </w:r>
      <w:r w:rsidRPr="00115A99">
        <w:rPr>
          <w:sz w:val="24"/>
          <w:szCs w:val="24"/>
          <w:lang w:val="ru-RU"/>
        </w:rPr>
        <w:t xml:space="preserve"> г.</w:t>
      </w:r>
      <w:r w:rsidR="00A50884">
        <w:rPr>
          <w:sz w:val="24"/>
          <w:szCs w:val="24"/>
          <w:lang w:val="ru-RU"/>
        </w:rPr>
        <w:t xml:space="preserve"> </w:t>
      </w: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№_</w:t>
      </w:r>
      <w:r w:rsidR="00115A99">
        <w:rPr>
          <w:sz w:val="24"/>
          <w:szCs w:val="24"/>
          <w:lang w:val="ru-RU"/>
        </w:rPr>
        <w:t>______</w:t>
      </w:r>
      <w:r w:rsidR="00A50884">
        <w:rPr>
          <w:sz w:val="24"/>
          <w:szCs w:val="24"/>
          <w:lang w:val="ru-RU"/>
        </w:rPr>
        <w:t>_____</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r w:rsidR="0035317F">
        <w:rPr>
          <w:b/>
          <w:sz w:val="28"/>
          <w:szCs w:val="28"/>
          <w:lang w:val="ru-RU"/>
        </w:rPr>
        <w:t>Ильино-Полянский</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B862C7">
        <w:rPr>
          <w:b/>
          <w:sz w:val="28"/>
          <w:szCs w:val="28"/>
          <w:lang w:val="ru-RU"/>
        </w:rPr>
        <w:t>05</w:t>
      </w:r>
      <w:r w:rsidR="00826EF5">
        <w:rPr>
          <w:b/>
          <w:sz w:val="28"/>
          <w:szCs w:val="28"/>
          <w:lang w:val="ru-RU"/>
        </w:rPr>
        <w:t xml:space="preserve"> </w:t>
      </w:r>
      <w:r w:rsidR="00B862C7">
        <w:rPr>
          <w:b/>
          <w:sz w:val="28"/>
          <w:szCs w:val="28"/>
          <w:lang w:val="ru-RU"/>
        </w:rPr>
        <w:t>апреля</w:t>
      </w:r>
      <w:r w:rsidR="00826EF5">
        <w:rPr>
          <w:b/>
          <w:sz w:val="28"/>
          <w:szCs w:val="28"/>
          <w:lang w:val="ru-RU"/>
        </w:rPr>
        <w:t xml:space="preserve"> </w:t>
      </w:r>
      <w:r w:rsidR="00826EF5" w:rsidRPr="00CF06B9">
        <w:rPr>
          <w:b/>
          <w:sz w:val="28"/>
          <w:szCs w:val="28"/>
          <w:lang w:val="ru-RU"/>
        </w:rPr>
        <w:t xml:space="preserve">2022 года № </w:t>
      </w:r>
      <w:r w:rsidR="00826EF5">
        <w:rPr>
          <w:b/>
          <w:sz w:val="28"/>
          <w:szCs w:val="28"/>
          <w:lang w:val="ru-RU"/>
        </w:rPr>
        <w:t>2</w:t>
      </w:r>
      <w:r w:rsidR="00B862C7">
        <w:rPr>
          <w:b/>
          <w:sz w:val="28"/>
          <w:szCs w:val="28"/>
          <w:lang w:val="ru-RU"/>
        </w:rPr>
        <w:t>5</w:t>
      </w:r>
      <w:bookmarkStart w:id="1" w:name="_GoBack"/>
      <w:bookmarkEnd w:id="1"/>
      <w:r w:rsidR="00826EF5" w:rsidRPr="00CF06B9">
        <w:rPr>
          <w:b/>
          <w:sz w:val="28"/>
          <w:szCs w:val="28"/>
          <w:lang w:val="ru-RU"/>
        </w:rPr>
        <w:t xml:space="preserve"> «</w:t>
      </w:r>
      <w:r w:rsidR="00826EF5"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35317F">
        <w:rPr>
          <w:b/>
          <w:bCs/>
          <w:sz w:val="28"/>
          <w:szCs w:val="24"/>
          <w:lang w:val="ru-RU" w:eastAsia="ru-RU"/>
        </w:rPr>
        <w:t>Ильино-Полянский</w:t>
      </w:r>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r w:rsidR="0035317F">
        <w:rPr>
          <w:sz w:val="28"/>
          <w:szCs w:val="28"/>
          <w:lang w:val="ru-RU"/>
        </w:rPr>
        <w:t xml:space="preserve">Ильино-Полянский </w:t>
      </w:r>
      <w:r w:rsidRPr="007C75F7">
        <w:rPr>
          <w:sz w:val="28"/>
          <w:szCs w:val="28"/>
          <w:lang w:val="ru-RU"/>
        </w:rPr>
        <w:t>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w:t>
      </w:r>
      <w:r w:rsidRPr="00115A99">
        <w:rPr>
          <w:sz w:val="28"/>
          <w:szCs w:val="28"/>
          <w:lang w:val="ru-RU"/>
        </w:rPr>
        <w:lastRenderedPageBreak/>
        <w:t xml:space="preserve">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lastRenderedPageBreak/>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w:t>
      </w:r>
      <w:r w:rsidRPr="00115A99">
        <w:rPr>
          <w:sz w:val="28"/>
          <w:szCs w:val="28"/>
          <w:lang w:val="ru-RU"/>
        </w:rPr>
        <w:lastRenderedPageBreak/>
        <w:t>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 xml:space="preserve">поселения </w:t>
      </w:r>
      <w:r w:rsidR="0035317F">
        <w:rPr>
          <w:sz w:val="28"/>
          <w:szCs w:val="28"/>
          <w:lang w:val="ru-RU"/>
        </w:rPr>
        <w:t xml:space="preserve">Ильино-Полянский </w:t>
      </w:r>
      <w:r w:rsidR="001B3D51">
        <w:rPr>
          <w:sz w:val="28"/>
          <w:szCs w:val="28"/>
          <w:lang w:val="ru-RU"/>
        </w:rPr>
        <w:t>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Pr="00115A99" w:rsidRDefault="00115A99" w:rsidP="00B67079">
      <w:pPr>
        <w:spacing w:after="0" w:line="240" w:lineRule="auto"/>
        <w:ind w:left="284" w:right="38" w:firstLine="0"/>
        <w:rPr>
          <w:bCs/>
          <w:sz w:val="28"/>
          <w:szCs w:val="28"/>
          <w:lang w:val="ru-RU" w:eastAsia="ru-RU"/>
        </w:rPr>
      </w:pPr>
      <w:r w:rsidRPr="00115A99">
        <w:rPr>
          <w:sz w:val="28"/>
          <w:szCs w:val="28"/>
          <w:lang w:val="ru-RU"/>
        </w:rPr>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tbl>
      <w:tblPr>
        <w:tblW w:w="9603"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lastRenderedPageBreak/>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proofErr w:type="spellEnd"/>
            <w:r w:rsidRPr="00CF06B9">
              <w:rPr>
                <w:sz w:val="24"/>
                <w:szCs w:val="24"/>
                <w:lang w:val="ru-RU"/>
              </w:rPr>
              <w:t>р</w:t>
            </w:r>
            <w:proofErr w:type="spellStart"/>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proofErr w:type="spellEnd"/>
            <w:r w:rsidR="003515EB" w:rsidRPr="00CF06B9">
              <w:rPr>
                <w:sz w:val="24"/>
                <w:szCs w:val="24"/>
                <w:lang w:val="ru-RU"/>
              </w:rPr>
              <w:t>р</w:t>
            </w:r>
            <w:proofErr w:type="spellStart"/>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proofErr w:type="spellEnd"/>
            <w:r w:rsidRPr="00CF06B9">
              <w:rPr>
                <w:sz w:val="24"/>
                <w:szCs w:val="24"/>
                <w:lang w:val="ru-RU"/>
              </w:rPr>
              <w:t>р</w:t>
            </w:r>
            <w:proofErr w:type="spellStart"/>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proofErr w:type="spellEnd"/>
            <w:r w:rsidR="00115A99" w:rsidRPr="00CF06B9">
              <w:rPr>
                <w:sz w:val="24"/>
                <w:szCs w:val="24"/>
                <w:lang w:val="ru-RU"/>
              </w:rPr>
              <w:t>р</w:t>
            </w:r>
            <w:proofErr w:type="spellStart"/>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r w:rsidR="00115A99" w:rsidRPr="00CF06B9">
              <w:rPr>
                <w:sz w:val="24"/>
                <w:szCs w:val="24"/>
                <w:lang w:val="ru-RU"/>
              </w:rPr>
              <w:t>р</w:t>
            </w:r>
            <w:proofErr w:type="spellStart"/>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15:restartNumberingAfterBreak="0">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F"/>
    <w:rsid w:val="00066407"/>
    <w:rsid w:val="000935F4"/>
    <w:rsid w:val="000A44F9"/>
    <w:rsid w:val="000F76F8"/>
    <w:rsid w:val="00101274"/>
    <w:rsid w:val="001041FB"/>
    <w:rsid w:val="00115A99"/>
    <w:rsid w:val="00130539"/>
    <w:rsid w:val="00134C6A"/>
    <w:rsid w:val="001446B3"/>
    <w:rsid w:val="00164B37"/>
    <w:rsid w:val="001B3D51"/>
    <w:rsid w:val="001E3A73"/>
    <w:rsid w:val="00217435"/>
    <w:rsid w:val="00332FE0"/>
    <w:rsid w:val="003515EB"/>
    <w:rsid w:val="0035317F"/>
    <w:rsid w:val="003749C3"/>
    <w:rsid w:val="00374F98"/>
    <w:rsid w:val="00491DB1"/>
    <w:rsid w:val="004942A2"/>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50884"/>
    <w:rsid w:val="00AB396D"/>
    <w:rsid w:val="00AF71A7"/>
    <w:rsid w:val="00B459C4"/>
    <w:rsid w:val="00B57A8C"/>
    <w:rsid w:val="00B67079"/>
    <w:rsid w:val="00B8108E"/>
    <w:rsid w:val="00B862C7"/>
    <w:rsid w:val="00B95C77"/>
    <w:rsid w:val="00C57323"/>
    <w:rsid w:val="00C8315E"/>
    <w:rsid w:val="00CC4087"/>
    <w:rsid w:val="00CF06B9"/>
    <w:rsid w:val="00D024D6"/>
    <w:rsid w:val="00DC5558"/>
    <w:rsid w:val="00E41A34"/>
    <w:rsid w:val="00E77B0A"/>
    <w:rsid w:val="00E90576"/>
    <w:rsid w:val="00E91FC5"/>
    <w:rsid w:val="00F10821"/>
    <w:rsid w:val="00F45B91"/>
    <w:rsid w:val="00F62FE2"/>
    <w:rsid w:val="00F706D8"/>
    <w:rsid w:val="00F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AB17"/>
  <w15:docId w15:val="{7D5720B4-625F-4E55-84B4-F19ECF2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1640</Words>
  <Characters>9351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5</cp:revision>
  <cp:lastPrinted>2022-11-29T04:51:00Z</cp:lastPrinted>
  <dcterms:created xsi:type="dcterms:W3CDTF">2022-11-29T05:34:00Z</dcterms:created>
  <dcterms:modified xsi:type="dcterms:W3CDTF">2022-11-30T04:47:00Z</dcterms:modified>
</cp:coreProperties>
</file>