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D5" w:rsidRDefault="006663D5" w:rsidP="00EF3451">
      <w:pPr>
        <w:jc w:val="center"/>
        <w:rPr>
          <w:sz w:val="40"/>
          <w:szCs w:val="40"/>
        </w:rPr>
      </w:pPr>
      <w:bookmarkStart w:id="0" w:name="_GoBack"/>
      <w:bookmarkEnd w:id="0"/>
      <w:r w:rsidRPr="006663D5">
        <w:rPr>
          <w:noProof/>
          <w:sz w:val="40"/>
          <w:szCs w:val="40"/>
        </w:rPr>
        <w:drawing>
          <wp:inline distT="0" distB="0" distL="0" distR="0" wp14:anchorId="7C02BEFE" wp14:editId="10660146">
            <wp:extent cx="5940425" cy="3962263"/>
            <wp:effectExtent l="0" t="0" r="3175" b="635"/>
            <wp:docPr id="1" name="Рисунок 1" descr="https://blagoveshensk.bashkortostan.ru/upload/iblock/d5d/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goveshensk.bashkortostan.ru/upload/iblock/d5d/r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D5" w:rsidRDefault="006663D5" w:rsidP="00EF3451">
      <w:pPr>
        <w:jc w:val="center"/>
        <w:rPr>
          <w:sz w:val="40"/>
          <w:szCs w:val="40"/>
        </w:rPr>
      </w:pPr>
    </w:p>
    <w:p w:rsidR="00AD44C3" w:rsidRPr="00EF3451" w:rsidRDefault="00AD44C3" w:rsidP="00EF3451">
      <w:pPr>
        <w:jc w:val="center"/>
        <w:rPr>
          <w:sz w:val="40"/>
          <w:szCs w:val="40"/>
        </w:rPr>
      </w:pPr>
      <w:r w:rsidRPr="00EF3451">
        <w:rPr>
          <w:sz w:val="40"/>
          <w:szCs w:val="40"/>
        </w:rPr>
        <w:t>Виды поддержки в рамках государственной программы «Развитие и поддержка малого и среднего предпринимательства в Республики Башкортостан»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В</w:t>
      </w:r>
      <w:r>
        <w:t xml:space="preserve"> рамках реализации государственной программы «Развитие и поддержка малого и среднего предпринимательства в Республики Башкортостан» оказываются следующие виды поддержки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Государственным комитетом по предпринимательству и туризму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450008 г. Уфа ул. Пушкина, 95 телефон/факс 8 (347)218-08-25,218-08-08 e-</w:t>
      </w:r>
      <w:proofErr w:type="spellStart"/>
      <w:r>
        <w:t>mail</w:t>
      </w:r>
      <w:proofErr w:type="spellEnd"/>
      <w:r>
        <w:t>: biznestur@bashkortostan.ru  www.biznestur.bashkortostan.ru</w:t>
      </w:r>
    </w:p>
    <w:p w:rsidR="00AD44C3" w:rsidRDefault="00EF3451" w:rsidP="00EF3451">
      <w:pPr>
        <w:jc w:val="both"/>
      </w:pPr>
      <w:r>
        <w:t xml:space="preserve"> </w:t>
      </w:r>
    </w:p>
    <w:p w:rsidR="00AD44C3" w:rsidRPr="00EF3451" w:rsidRDefault="00AD44C3" w:rsidP="00EF3451">
      <w:pPr>
        <w:jc w:val="both"/>
        <w:rPr>
          <w:b/>
        </w:rPr>
      </w:pPr>
      <w:r w:rsidRPr="00EF3451">
        <w:rPr>
          <w:b/>
        </w:rPr>
        <w:t>1. Информационно - консультационная поддержка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обучение госкомитетом по предпринимательству и туризму организовываются краткосрочные образовательные курсы для начинающих предпринимателей и граждан, желающих осуществлять предпринимательскую деятельность, обучающие семинары СМСП на разных стадиях созда</w:t>
      </w:r>
      <w:r>
        <w:rPr>
          <w:rFonts w:hint="eastAsia"/>
        </w:rPr>
        <w:t>ния</w:t>
      </w:r>
      <w:r>
        <w:t xml:space="preserve"> и становления бизнеса: от начинающих предпринимателей и до топ - менеджеров.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бизнес инкубаторы в городах Уфа, Сибай, Салават, Октябрьский – предоставление нежилых офисных помещений, оборудованных оргтехникой и мебелью, связью, доступом в Интернет, в аренду на льготных условиях, консультирование по вопросам осуществления предприни</w:t>
      </w:r>
      <w:r>
        <w:rPr>
          <w:rFonts w:hint="eastAsia"/>
        </w:rPr>
        <w:t>мательской</w:t>
      </w:r>
      <w:r>
        <w:t xml:space="preserve"> деятельности, обучение и повышение квалификации, информационные услуги.</w:t>
      </w:r>
    </w:p>
    <w:p w:rsidR="00AD44C3" w:rsidRDefault="00EF3451" w:rsidP="00EF3451">
      <w:pPr>
        <w:jc w:val="both"/>
      </w:pPr>
      <w:r>
        <w:lastRenderedPageBreak/>
        <w:t xml:space="preserve"> </w:t>
      </w:r>
    </w:p>
    <w:p w:rsidR="00AD44C3" w:rsidRPr="00EF3451" w:rsidRDefault="00AD44C3" w:rsidP="00EF3451">
      <w:pPr>
        <w:jc w:val="both"/>
        <w:rPr>
          <w:b/>
        </w:rPr>
      </w:pPr>
      <w:r w:rsidRPr="00EF3451">
        <w:rPr>
          <w:b/>
        </w:rPr>
        <w:t>2. Финансовая поддержка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 xml:space="preserve">- субсидии муниципальным образованиям и </w:t>
      </w:r>
      <w:proofErr w:type="spellStart"/>
      <w:r>
        <w:t>монопрофильным</w:t>
      </w:r>
      <w:proofErr w:type="spellEnd"/>
      <w:r>
        <w:t xml:space="preserve"> муниципальным образованиям (моногородам);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гранты начинающим СМСП на уплату первоначального взноса при заключении договора лизинга оборудования;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поддержка (субсидирование) социального предпринимательства;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Субсидирование СМСП на организацию групп дневного времяпровождения детей дошкольного возраста;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 xml:space="preserve">- фонд поддержки инвестиционных </w:t>
      </w:r>
      <w:proofErr w:type="spellStart"/>
      <w:r>
        <w:t>инциатив</w:t>
      </w:r>
      <w:proofErr w:type="spellEnd"/>
      <w:r>
        <w:t xml:space="preserve"> для предоставления займов СМП РБ;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микрофинансирование;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предоставление поручительства за счет средств гарантийного фонда;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предоставление основных средств на условиях лизинга.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субсидирование части лизинговых платежей;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субсидирование части затрат субъектов малого и среднего предпринимательств</w:t>
      </w:r>
      <w:proofErr w:type="gramStart"/>
      <w:r>
        <w:t>а АО у</w:t>
      </w:r>
      <w:proofErr w:type="gramEnd"/>
      <w:r>
        <w:t xml:space="preserve">частию в международных и межрегиональных </w:t>
      </w:r>
      <w:proofErr w:type="spellStart"/>
      <w:r>
        <w:t>выставочно</w:t>
      </w:r>
      <w:proofErr w:type="spellEnd"/>
      <w:r>
        <w:t xml:space="preserve">-ярмарочных и </w:t>
      </w:r>
      <w:proofErr w:type="spellStart"/>
      <w:r>
        <w:t>конгрессных</w:t>
      </w:r>
      <w:proofErr w:type="spellEnd"/>
      <w:r>
        <w:t xml:space="preserve"> мероприятиях;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субсидирование части затрат, связанных с оплатой образовательных услуг;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- субсидирование части затрат организаций инфраструктуры, связанных с реализацией проектов по вопросам развития и поддержки СМСП в РБ.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rPr>
          <w:rFonts w:hint="eastAsia"/>
        </w:rPr>
        <w:t>Фонд</w:t>
      </w:r>
      <w:r>
        <w:t xml:space="preserve"> развития и поддержка малого предпринимательства Республики Башкортостан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450052, г. Уфа ул. К. Маркса, д. 37, корп.2, этаж 3 телефон/факс: 8(347)251-67-52,251-67-59 e-</w:t>
      </w:r>
      <w:proofErr w:type="spellStart"/>
      <w:r>
        <w:t>mail</w:t>
      </w:r>
      <w:proofErr w:type="spellEnd"/>
      <w:r>
        <w:t>: fond-mb@mail.ru www.fondmb.ru</w:t>
      </w:r>
    </w:p>
    <w:p w:rsidR="00AD44C3" w:rsidRDefault="00EF3451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  <w:r>
        <w:t>1. Гарантийный фонд Предоставление поручительства субъектам малого и среднего предпринимательства за счет средств гарантийного фонда. Предоставление поручительства субъектам малого и среднего предпринимательства за счет средств гарантийного фонда: до 70% о</w:t>
      </w:r>
      <w:r>
        <w:rPr>
          <w:rFonts w:hint="eastAsia"/>
        </w:rPr>
        <w:t>т</w:t>
      </w:r>
      <w:r>
        <w:t xml:space="preserve"> суммы кредита, но не более 20 млн. рублей, по кредитам более 1 млн. рублей, по кредитам сроком не менее 1 года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2. Лизинговый фонд. Предоставление субъектам малого и среднего предпринимательства основных средств (техника, оборудование) на условиях лизинга: на срок до 5 лет, стоимость не более 5 млн. рублей, авансовый платеж не менее 10% от стоимости основных средств.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lastRenderedPageBreak/>
        <w:t>3. Центр поддержки предпринимательства. Предоставление субъектам малого и среднего предпринимательства консультационной поддержки на безвозмездной основе по следующим направлениям: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-консультационные услуги по финансовой поддержке (гарантийный фонд, лизинговый фонд, программы поддержки);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консультационные услуги по вопросам финансового планирования (выбор системы налогообложения, оптимизация налогообложения, бухгалтерские услуги, привлечение инвестиций и займов);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консультационные услуги по вопросам маркетингового сопровождения (разработка маркетинговой стратегии и бизнес-планов, рекламной компании, дизайна, разработка и продвижение бренда);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консультационные услуги по вопросам правого обеспечения (составление и экспертиза документов, договоров, соглашений, помощь в регистрации ООО</w:t>
      </w:r>
      <w:proofErr w:type="gramStart"/>
      <w:r>
        <w:t>,И</w:t>
      </w:r>
      <w:proofErr w:type="gramEnd"/>
      <w:r>
        <w:t>П);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антикризисный консалтинг (анализ финансово-хозяйственной деятельности, диагностика причин кризисного состояния, разработка антикризисной программы);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иные консультационные услуги.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4. Фонд поддержки инвестиционных инициатив для предоставления займов СМП РБ. Осуществляется на конкурсной основе, Размер займа от 100 до 500 тыс. рублей, максимальный срок предоставления займа – до 3-х лет, плата за предоставление займа – не более 2/3 ключ</w:t>
      </w:r>
      <w:r>
        <w:rPr>
          <w:rFonts w:hint="eastAsia"/>
        </w:rPr>
        <w:t>евой</w:t>
      </w:r>
      <w:r>
        <w:t xml:space="preserve"> ставки Банка России на дату предоставления займа.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АНО</w:t>
      </w:r>
      <w:r>
        <w:t xml:space="preserve"> «</w:t>
      </w:r>
      <w:proofErr w:type="spellStart"/>
      <w:r>
        <w:t>Микрофинансовая</w:t>
      </w:r>
      <w:proofErr w:type="spellEnd"/>
      <w:r>
        <w:t xml:space="preserve"> организация малого бизнеса Республики Башкортостан» 450076, </w:t>
      </w:r>
      <w:proofErr w:type="spellStart"/>
      <w:r>
        <w:t>г</w:t>
      </w:r>
      <w:proofErr w:type="gramStart"/>
      <w:r>
        <w:t>.У</w:t>
      </w:r>
      <w:proofErr w:type="gramEnd"/>
      <w:r>
        <w:t>фа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Чернышевского, д. 82, этаж 6, оф. 65 телефон/факс: 8(347)246-20-50, 246-20-49 e-</w:t>
      </w:r>
      <w:proofErr w:type="spellStart"/>
      <w:r>
        <w:t>mail</w:t>
      </w:r>
      <w:proofErr w:type="spellEnd"/>
      <w:r>
        <w:t>: centerrb@mail.ru www.centerrb.ru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 xml:space="preserve"> 1. Максимальный размер </w:t>
      </w:r>
      <w:proofErr w:type="spellStart"/>
      <w:r>
        <w:t>микрозайма</w:t>
      </w:r>
      <w:proofErr w:type="spellEnd"/>
      <w:r>
        <w:t xml:space="preserve"> – 3 млн. рублей, на срок до 3-х лет, процентная ставка дифференцированная </w:t>
      </w:r>
      <w:proofErr w:type="gramStart"/>
      <w:r>
        <w:t>–о</w:t>
      </w:r>
      <w:proofErr w:type="gramEnd"/>
      <w:r>
        <w:t>т 10 до 12,5 % годовых.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2. Программа стимулирования кредитования субъектов МСП.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Корпорация</w:t>
      </w:r>
      <w:r>
        <w:t xml:space="preserve"> МСП осуществляет обеспечение субъектов малого и среднего предпринимательства (МСП) доступными кредитными ресурсами.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lastRenderedPageBreak/>
        <w:t>Совместно</w:t>
      </w:r>
      <w:r>
        <w:t xml:space="preserve"> с Минэкономразвития России и Банком России Корпорация разработала Программу стимулирования кредитования субъектов МСП, реализующих проекты в приоритетных отраслях, которая фиксирует процентную ставку по кредитам в сумме не менее 10 </w:t>
      </w:r>
      <w:proofErr w:type="gramStart"/>
      <w:r>
        <w:t>млн</w:t>
      </w:r>
      <w:proofErr w:type="gramEnd"/>
      <w:r>
        <w:t xml:space="preserve"> руб. для с</w:t>
      </w:r>
      <w:r>
        <w:rPr>
          <w:rFonts w:hint="eastAsia"/>
        </w:rPr>
        <w:t>убъектов</w:t>
      </w:r>
      <w:r>
        <w:t xml:space="preserve"> малого бизнеса на уровне 10,6% годовых, для среднего - 9,6% годовых.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Кредитные</w:t>
      </w:r>
      <w:r>
        <w:t xml:space="preserve"> организации, предоставляющие финансирование предпринимателям по Программе получают возможность рефинансирования в Банке России по ставке 6,5% годовых, поэтому Программа получила второе название «Шесть с половиной».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В</w:t>
      </w:r>
      <w:r>
        <w:t xml:space="preserve"> программе участвуют следующие уполномоченные банки: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1. АО «Альфа-Банк»;</w:t>
      </w:r>
    </w:p>
    <w:p w:rsidR="00AD44C3" w:rsidRDefault="00AD44C3" w:rsidP="00EF3451">
      <w:pPr>
        <w:jc w:val="both"/>
      </w:pPr>
      <w:r>
        <w:t>2. Банк ВТБ (ПАО);</w:t>
      </w:r>
    </w:p>
    <w:p w:rsidR="00AD44C3" w:rsidRDefault="00AD44C3" w:rsidP="00EF3451">
      <w:pPr>
        <w:jc w:val="both"/>
      </w:pPr>
      <w:r>
        <w:t xml:space="preserve">3. АО «Банк </w:t>
      </w:r>
      <w:proofErr w:type="spellStart"/>
      <w:r>
        <w:t>Интеза</w:t>
      </w:r>
      <w:proofErr w:type="spellEnd"/>
      <w:r>
        <w:t>»;</w:t>
      </w:r>
    </w:p>
    <w:p w:rsidR="00AD44C3" w:rsidRDefault="00AD44C3" w:rsidP="00EF3451">
      <w:pPr>
        <w:jc w:val="both"/>
      </w:pPr>
      <w:r>
        <w:t>4. ПАО «Банк «Санкт-Петербург»;</w:t>
      </w:r>
    </w:p>
    <w:p w:rsidR="00AD44C3" w:rsidRDefault="00AD44C3" w:rsidP="00EF3451">
      <w:pPr>
        <w:jc w:val="both"/>
      </w:pPr>
      <w:r>
        <w:t>5. Банк «Возрождение» (ПАО);</w:t>
      </w:r>
    </w:p>
    <w:p w:rsidR="00AD44C3" w:rsidRDefault="00AD44C3" w:rsidP="00EF3451">
      <w:pPr>
        <w:jc w:val="both"/>
      </w:pPr>
      <w:r>
        <w:t>6. ВТБ 24 (ПАО);</w:t>
      </w:r>
    </w:p>
    <w:p w:rsidR="00AD44C3" w:rsidRDefault="00AD44C3" w:rsidP="00EF3451">
      <w:pPr>
        <w:jc w:val="both"/>
      </w:pPr>
      <w:r>
        <w:t>7. Банк ГПБ (АО);</w:t>
      </w:r>
    </w:p>
    <w:p w:rsidR="00AD44C3" w:rsidRDefault="00AD44C3" w:rsidP="00EF3451">
      <w:pPr>
        <w:jc w:val="both"/>
      </w:pPr>
      <w:r>
        <w:t>8. КБ «Кубань Кредит»;</w:t>
      </w:r>
    </w:p>
    <w:p w:rsidR="00AD44C3" w:rsidRDefault="00AD44C3" w:rsidP="00EF3451">
      <w:pPr>
        <w:jc w:val="both"/>
      </w:pPr>
      <w:r>
        <w:t>9. ПАО «НБД-Банк»;</w:t>
      </w:r>
    </w:p>
    <w:p w:rsidR="00AD44C3" w:rsidRDefault="00AD44C3" w:rsidP="00EF3451">
      <w:pPr>
        <w:jc w:val="both"/>
      </w:pPr>
      <w:r>
        <w:t>10. РНКБ (ПАО);</w:t>
      </w:r>
    </w:p>
    <w:p w:rsidR="00AD44C3" w:rsidRDefault="00AD44C3" w:rsidP="00EF3451">
      <w:pPr>
        <w:jc w:val="both"/>
      </w:pPr>
      <w:r>
        <w:t>11. АО «</w:t>
      </w:r>
      <w:proofErr w:type="spellStart"/>
      <w:r>
        <w:t>Россельхозбанк</w:t>
      </w:r>
      <w:proofErr w:type="spellEnd"/>
      <w:r>
        <w:t>»;</w:t>
      </w:r>
    </w:p>
    <w:p w:rsidR="00AD44C3" w:rsidRDefault="00AD44C3" w:rsidP="00EF3451">
      <w:pPr>
        <w:jc w:val="both"/>
      </w:pPr>
      <w:r>
        <w:t>12. АО «</w:t>
      </w:r>
      <w:proofErr w:type="spellStart"/>
      <w:r>
        <w:t>ЮниКредит</w:t>
      </w:r>
      <w:proofErr w:type="spellEnd"/>
      <w:r>
        <w:t xml:space="preserve"> Банк»;</w:t>
      </w:r>
    </w:p>
    <w:p w:rsidR="00AD44C3" w:rsidRDefault="00AD44C3" w:rsidP="00EF3451">
      <w:pPr>
        <w:jc w:val="both"/>
      </w:pPr>
      <w:r>
        <w:t>13. ПАО «СКБ-банк»;</w:t>
      </w:r>
    </w:p>
    <w:p w:rsidR="00AD44C3" w:rsidRDefault="00AD44C3" w:rsidP="00EF3451">
      <w:pPr>
        <w:jc w:val="both"/>
      </w:pPr>
      <w:r>
        <w:t>14. Банк «Левобережный» (ПАО);</w:t>
      </w:r>
    </w:p>
    <w:p w:rsidR="00AD44C3" w:rsidRDefault="00AD44C3" w:rsidP="00EF3451">
      <w:pPr>
        <w:jc w:val="both"/>
      </w:pPr>
      <w:r>
        <w:t>15. «СИБСОЦБАНК» ООО;</w:t>
      </w:r>
    </w:p>
    <w:p w:rsidR="00AD44C3" w:rsidRDefault="00AD44C3" w:rsidP="00EF3451">
      <w:pPr>
        <w:jc w:val="both"/>
      </w:pPr>
      <w:r>
        <w:t>16. ПАО Банк «Кузнецкий»;</w:t>
      </w:r>
    </w:p>
    <w:p w:rsidR="00AD44C3" w:rsidRDefault="00AD44C3" w:rsidP="00EF3451">
      <w:pPr>
        <w:jc w:val="both"/>
      </w:pPr>
      <w:r>
        <w:t>17. ПАО Банк «ФК Открытие»;</w:t>
      </w:r>
    </w:p>
    <w:p w:rsidR="00AD44C3" w:rsidRDefault="00AD44C3" w:rsidP="00EF3451">
      <w:pPr>
        <w:jc w:val="both"/>
      </w:pPr>
      <w:r>
        <w:t>18. ПАО Сбербанк;</w:t>
      </w:r>
    </w:p>
    <w:p w:rsidR="00AD44C3" w:rsidRDefault="00AD44C3" w:rsidP="00EF3451">
      <w:pPr>
        <w:jc w:val="both"/>
      </w:pPr>
      <w:r>
        <w:t>19. ПАО «Промсвязьбанк»;</w:t>
      </w:r>
    </w:p>
    <w:p w:rsidR="00AD44C3" w:rsidRDefault="00AD44C3" w:rsidP="00EF3451">
      <w:pPr>
        <w:jc w:val="both"/>
      </w:pPr>
      <w:r>
        <w:t>20. АО «Райффайзенбанк»;</w:t>
      </w:r>
    </w:p>
    <w:p w:rsidR="00AD44C3" w:rsidRDefault="00AD44C3" w:rsidP="00EF3451">
      <w:pPr>
        <w:jc w:val="both"/>
      </w:pPr>
      <w:r>
        <w:t>21. ПАО Росбанк.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Администрация</w:t>
      </w:r>
      <w:r>
        <w:t xml:space="preserve"> Муниципального района Благовещенский район Республики Башкортостан </w:t>
      </w:r>
      <w:proofErr w:type="spellStart"/>
      <w:r>
        <w:t>г</w:t>
      </w:r>
      <w:proofErr w:type="gramStart"/>
      <w:r>
        <w:t>.Б</w:t>
      </w:r>
      <w:proofErr w:type="gramEnd"/>
      <w:r>
        <w:t>лаговещенск</w:t>
      </w:r>
      <w:proofErr w:type="spellEnd"/>
      <w:r>
        <w:t xml:space="preserve"> ул. Седова 96, к.6, тел (34766)2-13-68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1. Финансовая поддержка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Администрацией</w:t>
      </w:r>
      <w:r>
        <w:t xml:space="preserve"> Муниципального района Благовещенский район Республики Башкортостан принята новая программа «Развитие и поддержка малого и среднего предпринимательства в муниципальном районе Благовещенский район Республики Башкортостан на 2016-2018 годы». Су</w:t>
      </w:r>
      <w:r>
        <w:rPr>
          <w:rFonts w:hint="eastAsia"/>
        </w:rPr>
        <w:t>бсидии</w:t>
      </w:r>
      <w:r>
        <w:t xml:space="preserve"> предоставляются, прежде </w:t>
      </w:r>
      <w:proofErr w:type="gramStart"/>
      <w:r>
        <w:t>всего</w:t>
      </w:r>
      <w:proofErr w:type="gramEnd"/>
      <w:r>
        <w:t xml:space="preserve"> субъектам малого и среднего предпринимательства, которые занимаются приоритетными видами экономической деятельности, которые не имеют задолженности по налогам и сборам в бюджеты всех уровней, расширяют сферу своей деяте</w:t>
      </w:r>
      <w:r>
        <w:rPr>
          <w:rFonts w:hint="eastAsia"/>
        </w:rPr>
        <w:t>льности</w:t>
      </w:r>
      <w:r>
        <w:t xml:space="preserve">, создают рабочие места, </w:t>
      </w:r>
      <w:r>
        <w:lastRenderedPageBreak/>
        <w:t>обеспечивают рост заработной платы. Ежегодно из  бюджета муниципального района планируется выделение средств на субсидирование субъектов малого и среднего предпринимательства. Реализация программы осуществляется по двум напр</w:t>
      </w:r>
      <w:r>
        <w:rPr>
          <w:rFonts w:hint="eastAsia"/>
        </w:rPr>
        <w:t>авлениям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субсидирование субъектов малого предпринимательства на начальной стадии становления бизнеса;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proofErr w:type="gramStart"/>
      <w:r>
        <w:t>- Субсидирование части  затрат субъектов малого и среднего предпринимательства, связанных с уплатой лизинговых платежей по договору (договорам лизинга, заключенному с российскими лизинговыми организациями в целях создания и (или) развития либо модернизации производства товаров (работ, услуг).</w:t>
      </w:r>
      <w:proofErr w:type="gramEnd"/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2. Имущественная поддержка субъектам малого и среднего предпринимательства.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Имущественная</w:t>
      </w:r>
      <w:r>
        <w:t xml:space="preserve"> поддержка реализуется Комитетом </w:t>
      </w:r>
      <w:proofErr w:type="gramStart"/>
      <w:r>
        <w:t>по</w:t>
      </w:r>
      <w:proofErr w:type="gramEnd"/>
      <w:r>
        <w:t xml:space="preserve"> управлении. Собственностью Министерства земельных и имущественных отношений Республики Башкортостан по Благовещенскому району и г. Благовещенску. </w:t>
      </w:r>
      <w:proofErr w:type="gramStart"/>
      <w:r>
        <w:t>Решением Совета муниципального района Благовещенский район Ре</w:t>
      </w:r>
      <w:r>
        <w:rPr>
          <w:rFonts w:hint="eastAsia"/>
        </w:rPr>
        <w:t>спублики</w:t>
      </w:r>
      <w:r>
        <w:t xml:space="preserve"> Башкортостан от 22 июня 2016 №43-622 «О внесении изменений и дополнений в порядок оформления прав пользования муниципальным имуществом муниципального района Благовещенский район Республики Башкортостан и Методику определения годовой арендной платы за пользование муниципальным имуществом муниципального района Благовещенский район Республики Башкортостан, утвержденные решением Совета муниципального района Благовещенский район Республики Башкортостан от 29 апреля 2011</w:t>
      </w:r>
      <w:proofErr w:type="gramEnd"/>
      <w:r>
        <w:t xml:space="preserve"> года № 41-74». </w:t>
      </w:r>
      <w:proofErr w:type="gramStart"/>
      <w:r>
        <w:t>Внесены соответств</w:t>
      </w:r>
      <w:r>
        <w:rPr>
          <w:rFonts w:hint="eastAsia"/>
        </w:rPr>
        <w:t>ующие</w:t>
      </w:r>
      <w:r>
        <w:t xml:space="preserve"> изменения и дополнения, предусматривающие поддержку субъектов предпринимательской деятельности в виде льготной оплаты годовой арендной платы (в первый год аренды – 40 % от размера арендной платы; во второй год аренды – 60 % от размера арендной платы; в третий год арендной платы – 80 % от размера арендной платы;</w:t>
      </w:r>
      <w:proofErr w:type="gramEnd"/>
      <w:r>
        <w:t xml:space="preserve"> в четвертый год аренды и далее -100 %) при заключении договора аренды в отношении муниципального имущества.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МБУ</w:t>
      </w:r>
      <w:r>
        <w:t xml:space="preserve"> Благовещенский «Информационно-консультационный центр» г. Благовещенск ул. </w:t>
      </w:r>
      <w:proofErr w:type="gramStart"/>
      <w:r>
        <w:t>Коммунистическая</w:t>
      </w:r>
      <w:proofErr w:type="gramEnd"/>
      <w:r>
        <w:t xml:space="preserve"> д.12, тел (34766)2-13-86.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Информационно</w:t>
      </w:r>
      <w:r>
        <w:t xml:space="preserve"> </w:t>
      </w:r>
      <w:proofErr w:type="gramStart"/>
      <w:r>
        <w:t>консультационном</w:t>
      </w:r>
      <w:proofErr w:type="gramEnd"/>
      <w:r>
        <w:t xml:space="preserve"> центром оказываются следующие виды консультационных услуг для ИП и КФХ: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 xml:space="preserve">- регистрация договоров на аренду земельных участков физическим и юридическим лицам в </w:t>
      </w:r>
      <w:proofErr w:type="spellStart"/>
      <w:r>
        <w:t>росреестре</w:t>
      </w:r>
      <w:proofErr w:type="spellEnd"/>
      <w:r>
        <w:t>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помощь в оформлении земельных участков на выкуп и в оформление в аренду;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подготовка и сбор документов, сопровождение документов в Министерство сельского хозяйства Республики Башкортостан для получения государственной поддержки в виде грантов для КФХ;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разработка бизнес – планов субъектам малого предпринимательства;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t>- помощь регистрации субъектов малого предпринимательства в ИМНС.</w:t>
      </w:r>
    </w:p>
    <w:p w:rsidR="00AD44C3" w:rsidRDefault="00AD44C3" w:rsidP="00EF3451">
      <w:pPr>
        <w:jc w:val="both"/>
      </w:pPr>
      <w:r>
        <w:t xml:space="preserve"> </w:t>
      </w:r>
    </w:p>
    <w:p w:rsidR="00AD44C3" w:rsidRDefault="00AD44C3" w:rsidP="00EF3451">
      <w:pPr>
        <w:jc w:val="both"/>
      </w:pPr>
    </w:p>
    <w:p w:rsidR="00AD44C3" w:rsidRDefault="00AD44C3" w:rsidP="00EF3451">
      <w:pPr>
        <w:jc w:val="both"/>
      </w:pPr>
      <w:r>
        <w:rPr>
          <w:rFonts w:hint="eastAsia"/>
        </w:rPr>
        <w:t>С</w:t>
      </w:r>
      <w:r>
        <w:t xml:space="preserve"> более полной информацией о поддержке субъектов малого и среднего предпринимательства можно найти на официальном сайте Администрации Муниципального района Благовещенский район Республики Башкортостан в разделе «Деятельность» в подразделе «Экономика».</w:t>
      </w:r>
    </w:p>
    <w:p w:rsidR="00312547" w:rsidRDefault="00AD44C3" w:rsidP="00EF3451">
      <w:pPr>
        <w:jc w:val="both"/>
      </w:pPr>
      <w:r>
        <w:t>https://blagoveshensk.bashkortostan.ru/activity/24079/</w:t>
      </w:r>
    </w:p>
    <w:sectPr w:rsidR="0031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3"/>
    <w:rsid w:val="001C1477"/>
    <w:rsid w:val="00312547"/>
    <w:rsid w:val="006663D5"/>
    <w:rsid w:val="0081015A"/>
    <w:rsid w:val="00AD44C3"/>
    <w:rsid w:val="00BC4396"/>
    <w:rsid w:val="00E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77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C1477"/>
    <w:pPr>
      <w:keepNext/>
      <w:jc w:val="center"/>
      <w:outlineLvl w:val="1"/>
    </w:pPr>
    <w:rPr>
      <w:rFonts w:ascii="TNRCyrBash" w:hAnsi="TNRCyrBash"/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1C1477"/>
    <w:pPr>
      <w:keepNext/>
      <w:jc w:val="center"/>
      <w:outlineLvl w:val="2"/>
    </w:pPr>
    <w:rPr>
      <w:rFonts w:ascii="TNRCyrBash" w:hAnsi="TNRCyrBash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C147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1477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47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477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link w:val="3"/>
    <w:rsid w:val="001C1477"/>
    <w:rPr>
      <w:rFonts w:ascii="TNRCyrBash" w:hAnsi="TNRCyrBash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C1477"/>
    <w:rPr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1477"/>
    <w:rPr>
      <w:rFonts w:ascii="TNRCyrBash" w:hAnsi="TNRCyrBash"/>
      <w:sz w:val="32"/>
      <w:szCs w:val="24"/>
      <w:lang w:eastAsia="ru-RU"/>
    </w:rPr>
  </w:style>
  <w:style w:type="paragraph" w:styleId="a3">
    <w:name w:val="List Paragraph"/>
    <w:basedOn w:val="a"/>
    <w:qFormat/>
    <w:rsid w:val="001C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3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77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C1477"/>
    <w:pPr>
      <w:keepNext/>
      <w:jc w:val="center"/>
      <w:outlineLvl w:val="1"/>
    </w:pPr>
    <w:rPr>
      <w:rFonts w:ascii="TNRCyrBash" w:hAnsi="TNRCyrBash"/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1C1477"/>
    <w:pPr>
      <w:keepNext/>
      <w:jc w:val="center"/>
      <w:outlineLvl w:val="2"/>
    </w:pPr>
    <w:rPr>
      <w:rFonts w:ascii="TNRCyrBash" w:hAnsi="TNRCyrBash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C147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1477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47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477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link w:val="3"/>
    <w:rsid w:val="001C1477"/>
    <w:rPr>
      <w:rFonts w:ascii="TNRCyrBash" w:hAnsi="TNRCyrBash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C1477"/>
    <w:rPr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1477"/>
    <w:rPr>
      <w:rFonts w:ascii="TNRCyrBash" w:hAnsi="TNRCyrBash"/>
      <w:sz w:val="32"/>
      <w:szCs w:val="24"/>
      <w:lang w:eastAsia="ru-RU"/>
    </w:rPr>
  </w:style>
  <w:style w:type="paragraph" w:styleId="a3">
    <w:name w:val="List Paragraph"/>
    <w:basedOn w:val="a"/>
    <w:qFormat/>
    <w:rsid w:val="001C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3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Семина</cp:lastModifiedBy>
  <cp:revision>8</cp:revision>
  <cp:lastPrinted>2017-06-01T10:03:00Z</cp:lastPrinted>
  <dcterms:created xsi:type="dcterms:W3CDTF">2017-06-01T07:04:00Z</dcterms:created>
  <dcterms:modified xsi:type="dcterms:W3CDTF">2017-06-01T10:03:00Z</dcterms:modified>
</cp:coreProperties>
</file>